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F0A2" w14:textId="7153D44A" w:rsidR="006F2F1D" w:rsidRPr="00EB3F5E" w:rsidRDefault="00A82A9F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Overview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of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the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Processing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of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Personal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Data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of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Visitors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(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Individuals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Entering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the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Operator's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Cs w:val="36"/>
        </w:rPr>
        <w:t>Premises</w:t>
      </w:r>
      <w:proofErr w:type="spellEnd"/>
      <w:r w:rsidRPr="00A82A9F">
        <w:rPr>
          <w:rFonts w:ascii="Montserrat" w:eastAsiaTheme="majorEastAsia" w:hAnsi="Montserrat" w:cstheme="majorBidi"/>
          <w:color w:val="091C6B"/>
          <w:szCs w:val="36"/>
        </w:rPr>
        <w:t>)</w:t>
      </w:r>
    </w:p>
    <w:p w14:paraId="2FBF9316" w14:textId="656B72F4" w:rsidR="009B03B7" w:rsidRPr="009B03B7" w:rsidRDefault="00A82A9F" w:rsidP="009B03B7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A82A9F">
        <w:rPr>
          <w:rFonts w:ascii="Open Sans" w:hAnsi="Open Sans" w:cs="Open Sans"/>
          <w:i/>
          <w:sz w:val="16"/>
          <w:szCs w:val="20"/>
        </w:rPr>
        <w:t>Pursuant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Articles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13 and 14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Regulation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(EU) 2016/679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European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Parliament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and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Council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on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Individuals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with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regard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and on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Free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Movement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such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hereinafter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referred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to as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"GDPR") and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Act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No. 18/2018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Coll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. on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and on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Amendments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Certain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Acts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hereinafter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referred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to as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"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i/>
          <w:sz w:val="16"/>
          <w:szCs w:val="20"/>
        </w:rPr>
        <w:t>Act</w:t>
      </w:r>
      <w:proofErr w:type="spellEnd"/>
      <w:r w:rsidRPr="00A82A9F">
        <w:rPr>
          <w:rFonts w:ascii="Open Sans" w:hAnsi="Open Sans" w:cs="Open Sans"/>
          <w:i/>
          <w:sz w:val="16"/>
          <w:szCs w:val="20"/>
        </w:rPr>
        <w:t>").</w:t>
      </w:r>
    </w:p>
    <w:p w14:paraId="3B2E9264" w14:textId="50B42757" w:rsidR="009E2927" w:rsidRPr="00140A37" w:rsidRDefault="00A82A9F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purpose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overview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with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basic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information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regarding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when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enter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and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move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within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premises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</w:p>
    <w:p w14:paraId="5E96548C" w14:textId="6C694741" w:rsidR="004F40B4" w:rsidRPr="000938FA" w:rsidRDefault="00A82A9F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Identification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and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Contact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Information</w:t>
      </w:r>
      <w:proofErr w:type="spellEnd"/>
    </w:p>
    <w:p w14:paraId="4C1A63A5" w14:textId="77777777" w:rsidR="00A82A9F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controller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CD – profil s.r.o., 1. mája 2070, 031 01 Liptovský Mikuláš,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Company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ID: 31 615 830,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Phone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: 044/285 18 22 (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hereinafter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referred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to as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"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controller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").</w:t>
      </w:r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br/>
      </w:r>
    </w:p>
    <w:p w14:paraId="252FA3CB" w14:textId="77777777" w:rsidR="00A82A9F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In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case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any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ambiguities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questions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regarding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suggestions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complaints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if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believe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that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we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are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unlawfully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unfairly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in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case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exercising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any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rights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can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contact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at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any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time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by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sending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an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email to: </w:t>
      </w:r>
      <w:hyperlink r:id="rId11" w:tgtFrame="_blank" w:history="1">
        <w:r w:rsidRPr="00A82A9F">
          <w:rPr>
            <w:rStyle w:val="Hypertextovprepojenie"/>
            <w:rFonts w:ascii="Open Sans" w:eastAsia="Calibri" w:hAnsi="Open Sans" w:cs="Open Sans"/>
            <w:b w:val="0"/>
            <w:bCs w:val="0"/>
            <w:sz w:val="16"/>
            <w:szCs w:val="20"/>
          </w:rPr>
          <w:t>ochranaosobnychudajov@cdprofil.sk</w:t>
        </w:r>
      </w:hyperlink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in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writing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to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address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controller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.</w:t>
      </w:r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br/>
      </w:r>
    </w:p>
    <w:p w14:paraId="4F867B60" w14:textId="77777777" w:rsidR="00A82A9F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Contact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details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protection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officer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overseeing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: </w:t>
      </w:r>
      <w:hyperlink r:id="rId12" w:history="1">
        <w:r w:rsidRPr="00CA70F5">
          <w:rPr>
            <w:rStyle w:val="Hypertextovprepojenie"/>
            <w:rFonts w:ascii="Open Sans" w:eastAsia="Calibri" w:hAnsi="Open Sans" w:cs="Open Sans"/>
            <w:b w:val="0"/>
            <w:bCs w:val="0"/>
            <w:sz w:val="16"/>
            <w:szCs w:val="20"/>
          </w:rPr>
          <w:t>dpo7@proenergy.sk</w:t>
        </w:r>
      </w:hyperlink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.</w:t>
      </w:r>
    </w:p>
    <w:p w14:paraId="1958DC3A" w14:textId="2262B687" w:rsidR="00140A37" w:rsidRPr="000938FA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Basic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Overview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of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Processing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Activities</w:t>
      </w:r>
      <w:proofErr w:type="spellEnd"/>
    </w:p>
    <w:p w14:paraId="01054DED" w14:textId="6BAC5DB7" w:rsidR="00A61919" w:rsidRDefault="00A82A9F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within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following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activities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(IS):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9"/>
        <w:gridCol w:w="1379"/>
        <w:gridCol w:w="1650"/>
        <w:gridCol w:w="1197"/>
        <w:gridCol w:w="1315"/>
      </w:tblGrid>
      <w:tr w:rsidR="00A82A9F" w:rsidRPr="006B4A01" w14:paraId="244B668A" w14:textId="77777777" w:rsidTr="00A82A9F">
        <w:trPr>
          <w:trHeight w:val="450"/>
          <w:tblHeader/>
        </w:trPr>
        <w:tc>
          <w:tcPr>
            <w:tcW w:w="343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438B410F" w14:textId="7C1BDBAD" w:rsidR="00A82A9F" w:rsidRPr="00A82A9F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6"/>
                <w:szCs w:val="16"/>
                <w:lang w:eastAsia="sk-SK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Title and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Description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Processing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Activity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-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Purpose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and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Legal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Basis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Other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Important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Facts</w:t>
            </w:r>
            <w:proofErr w:type="spellEnd"/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04BAC9F" w14:textId="24652DB3" w:rsidR="00A82A9F" w:rsidRPr="00A82A9F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Categories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Subjects</w:t>
            </w:r>
            <w:proofErr w:type="spellEnd"/>
          </w:p>
        </w:tc>
        <w:tc>
          <w:tcPr>
            <w:tcW w:w="165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22A42B5" w14:textId="319B6BEC" w:rsidR="00A82A9F" w:rsidRPr="00A82A9F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4"/>
                <w:szCs w:val="14"/>
                <w:lang w:eastAsia="sk-SK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Categories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Personal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</w:p>
        </w:tc>
        <w:tc>
          <w:tcPr>
            <w:tcW w:w="119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A4DBF4B" w14:textId="26531F8E" w:rsidR="00A82A9F" w:rsidRPr="00A82A9F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4"/>
                <w:szCs w:val="14"/>
                <w:lang w:eastAsia="sk-SK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Retention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Period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for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Personal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</w:p>
        </w:tc>
        <w:tc>
          <w:tcPr>
            <w:tcW w:w="131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3B07A2B" w14:textId="1B537502" w:rsidR="00A82A9F" w:rsidRPr="00A82A9F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14"/>
                <w:szCs w:val="14"/>
                <w:lang w:eastAsia="sk-SK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Category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Recipients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External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A82A9F" w:rsidRPr="006B4A01" w14:paraId="130ED74C" w14:textId="77777777" w:rsidTr="00A82A9F">
        <w:trPr>
          <w:trHeight w:val="900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8855" w14:textId="00792A24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Access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Control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Premises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Visitors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If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premises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a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one-time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basis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verify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identity as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well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as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authorization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based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legitimate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interest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1AAB" w14:textId="49AAE849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Visitors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entering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operator's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premises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A46" w14:textId="1624F141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•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ordinary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identification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C90" w14:textId="3F6A0456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3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years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D0FA" w14:textId="5229F2F8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(1) Police,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other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authorized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</w:tr>
      <w:tr w:rsidR="00A82A9F" w:rsidRPr="006B4A01" w14:paraId="697B7571" w14:textId="77777777" w:rsidTr="00A82A9F">
        <w:trPr>
          <w:trHeight w:val="349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6353C" w14:textId="74D0942E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CCTV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System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If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move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within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monitored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areas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will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video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surveillance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aimed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at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ensuring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safety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including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crime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detection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),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protecting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life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health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property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financial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interests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protecting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life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health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property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moving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within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monitored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area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recordings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used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hold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accountable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case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violations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regulations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and/or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provisions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endangering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damaging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property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life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health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safety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financial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interests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Processing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based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legitimate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interest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or a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third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party.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023B" w14:textId="0272D6FD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moving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monitored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area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D8E" w14:textId="5D6DA836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•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ordinary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captured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video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surveillance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).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E8C" w14:textId="3A5704E6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7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days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6228" w14:textId="08F4ACBD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(1,5) Police,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other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authorized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.</w:t>
            </w:r>
          </w:p>
        </w:tc>
      </w:tr>
      <w:tr w:rsidR="00A82A9F" w:rsidRPr="006B4A01" w14:paraId="1B7C29DC" w14:textId="77777777" w:rsidTr="00A82A9F">
        <w:trPr>
          <w:trHeight w:val="4350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552E2" w14:textId="0F982305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lastRenderedPageBreak/>
              <w:t>Technical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Organizational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Measures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process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containing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as part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technical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organizational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measures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implemented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by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ensure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adequate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level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security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maintain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compliance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with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requirements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GDPR,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prevent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eliminate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adverse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effects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subjects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This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include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example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employee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training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confidentiality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agreements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who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come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into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contact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with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consent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processing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handling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requests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exercising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rights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resolving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security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incidents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breaches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from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audits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which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participated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assignment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/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revocation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assets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access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rights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use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assigned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assets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etc.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Processing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legitimate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interest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also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duty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arising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from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GDPR.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Records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used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hold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you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accountable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as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evidence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demonstrating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asserting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defending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claims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or a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third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party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especially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endangering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/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breaching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security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including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protection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human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life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and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health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property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financial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material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damage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disruption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damage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reputation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leakage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know-how, etc.).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1FC" w14:textId="1A90F9D8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Employees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responsible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applicants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exercising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rights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whom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operator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fulfills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obligations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arising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from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GDPR,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involved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or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addressed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context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a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security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incident,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processors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other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external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entities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e.g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if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individuals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are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invited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address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issue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consultants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auditors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lawyers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),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employees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authorities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based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special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legal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regulations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e.g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employees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supervisory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authorities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in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context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consultation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inspection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activities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), etc.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7C6" w14:textId="580C0913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•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Personal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ordinary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identification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contact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which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may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supplemented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by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other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necessary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various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natures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depending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on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nature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issue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addressed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-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e.g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login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data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related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to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the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behavior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of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users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/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offenders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(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e.g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.,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login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logout</w:t>
            </w:r>
            <w:proofErr w:type="spellEnd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AA5AF5">
              <w:rPr>
                <w:rFonts w:ascii="Open Sans" w:hAnsi="Open Sans" w:cs="Open Sans"/>
                <w:color w:val="222222"/>
                <w:sz w:val="16"/>
                <w:szCs w:val="16"/>
              </w:rPr>
              <w:t>logs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562" w14:textId="60C4F677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21F" w14:textId="7F3027E4" w:rsidR="00A82A9F" w:rsidRPr="00AA5AF5" w:rsidRDefault="00A82A9F" w:rsidP="00A82A9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sk-SK"/>
              </w:rPr>
            </w:pPr>
          </w:p>
        </w:tc>
      </w:tr>
    </w:tbl>
    <w:p w14:paraId="055E920D" w14:textId="77777777" w:rsidR="006B4A01" w:rsidRDefault="006B4A0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66C6243D" w14:textId="77777777" w:rsidR="00A82A9F" w:rsidRDefault="00A82A9F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Obligation</w:t>
      </w:r>
      <w:proofErr w:type="spellEnd"/>
      <w:r w:rsidRPr="00A82A9F">
        <w:rPr>
          <w:rFonts w:ascii="Open Sans" w:hAnsi="Open Sans" w:cs="Open Sans"/>
          <w:b/>
          <w:bCs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b/>
          <w:bCs/>
          <w:sz w:val="16"/>
          <w:szCs w:val="20"/>
        </w:rPr>
        <w:t xml:space="preserve"> </w:t>
      </w:r>
    </w:p>
    <w:p w14:paraId="4AA60435" w14:textId="77777777" w:rsidR="00A82A9F" w:rsidRDefault="00A82A9F" w:rsidP="00A82A9F">
      <w:pPr>
        <w:spacing w:after="0"/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obligation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varies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for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each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activities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mentioned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above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  <w:r w:rsidRPr="00A82A9F">
        <w:rPr>
          <w:rFonts w:ascii="Open Sans" w:hAnsi="Open Sans" w:cs="Open Sans"/>
          <w:sz w:val="16"/>
          <w:szCs w:val="20"/>
        </w:rPr>
        <w:br/>
        <w:t xml:space="preserve">In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cases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where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based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voluntary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consent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obliged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; </w:t>
      </w:r>
      <w:proofErr w:type="spellStart"/>
      <w:r w:rsidRPr="00A82A9F">
        <w:rPr>
          <w:rFonts w:ascii="Open Sans" w:hAnsi="Open Sans" w:cs="Open Sans"/>
          <w:sz w:val="16"/>
          <w:szCs w:val="20"/>
        </w:rPr>
        <w:t>however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by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able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utilize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service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that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relies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consent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or benefit </w:t>
      </w:r>
      <w:proofErr w:type="spellStart"/>
      <w:r w:rsidRPr="00A82A9F">
        <w:rPr>
          <w:rFonts w:ascii="Open Sans" w:hAnsi="Open Sans" w:cs="Open Sans"/>
          <w:sz w:val="16"/>
          <w:szCs w:val="20"/>
        </w:rPr>
        <w:t>from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it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  <w:r w:rsidRPr="00A82A9F">
        <w:rPr>
          <w:rFonts w:ascii="Open Sans" w:hAnsi="Open Sans" w:cs="Open Sans"/>
          <w:sz w:val="16"/>
          <w:szCs w:val="20"/>
        </w:rPr>
        <w:br/>
      </w:r>
    </w:p>
    <w:p w14:paraId="79099A98" w14:textId="007CB12F" w:rsidR="00A82A9F" w:rsidRDefault="00A82A9F" w:rsidP="00A82A9F">
      <w:pPr>
        <w:spacing w:after="0"/>
        <w:jc w:val="both"/>
        <w:rPr>
          <w:rFonts w:ascii="Open Sans" w:hAnsi="Open Sans" w:cs="Open Sans"/>
          <w:sz w:val="16"/>
          <w:szCs w:val="20"/>
        </w:rPr>
      </w:pPr>
      <w:r w:rsidRPr="00A82A9F">
        <w:rPr>
          <w:rFonts w:ascii="Open Sans" w:hAnsi="Open Sans" w:cs="Open Sans"/>
          <w:sz w:val="16"/>
          <w:szCs w:val="20"/>
        </w:rPr>
        <w:t xml:space="preserve">In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cases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where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 </w:t>
      </w:r>
      <w:proofErr w:type="spellStart"/>
      <w:r w:rsidRPr="00A82A9F">
        <w:rPr>
          <w:rFonts w:ascii="Open Sans" w:hAnsi="Open Sans" w:cs="Open Sans"/>
          <w:sz w:val="16"/>
          <w:szCs w:val="20"/>
        </w:rPr>
        <w:t>legal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contractual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requirement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or a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task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that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obliged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perform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public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interest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required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us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with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82A9F">
        <w:rPr>
          <w:rFonts w:ascii="Open Sans" w:hAnsi="Open Sans" w:cs="Open Sans"/>
          <w:sz w:val="16"/>
          <w:szCs w:val="20"/>
        </w:rPr>
        <w:t>Failure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provide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result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in a </w:t>
      </w:r>
      <w:proofErr w:type="spellStart"/>
      <w:r w:rsidRPr="00A82A9F">
        <w:rPr>
          <w:rFonts w:ascii="Open Sans" w:hAnsi="Open Sans" w:cs="Open Sans"/>
          <w:sz w:val="16"/>
          <w:szCs w:val="20"/>
        </w:rPr>
        <w:t>violation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law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A82A9F">
        <w:rPr>
          <w:rFonts w:ascii="Open Sans" w:hAnsi="Open Sans" w:cs="Open Sans"/>
          <w:sz w:val="16"/>
          <w:szCs w:val="20"/>
        </w:rPr>
        <w:t>hinder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use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services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as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will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able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fulfill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legal</w:t>
      </w:r>
      <w:proofErr w:type="spellEnd"/>
      <w:r w:rsidRPr="00A82A9F">
        <w:rPr>
          <w:rFonts w:ascii="Open Sans" w:hAnsi="Open Sans" w:cs="Open Sans"/>
          <w:sz w:val="16"/>
          <w:szCs w:val="20"/>
        </w:rPr>
        <w:t>/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contractual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  <w:r w:rsidRPr="00A82A9F">
        <w:rPr>
          <w:rFonts w:ascii="Open Sans" w:hAnsi="Open Sans" w:cs="Open Sans"/>
          <w:sz w:val="16"/>
          <w:szCs w:val="20"/>
        </w:rPr>
        <w:br/>
      </w:r>
    </w:p>
    <w:p w14:paraId="0A03E63A" w14:textId="52A402BB" w:rsidR="00A82A9F" w:rsidRDefault="00A82A9F" w:rsidP="00A82A9F">
      <w:pPr>
        <w:spacing w:after="0"/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Providing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that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based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legitimate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interest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mandatory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; </w:t>
      </w:r>
      <w:proofErr w:type="spellStart"/>
      <w:r w:rsidRPr="00A82A9F">
        <w:rPr>
          <w:rFonts w:ascii="Open Sans" w:hAnsi="Open Sans" w:cs="Open Sans"/>
          <w:sz w:val="16"/>
          <w:szCs w:val="20"/>
        </w:rPr>
        <w:t>however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have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right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object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such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will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always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properly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assess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but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possible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that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certain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cases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be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able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comply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with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your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and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provision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will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remain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mandatory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82A9F">
        <w:rPr>
          <w:rFonts w:ascii="Open Sans" w:hAnsi="Open Sans" w:cs="Open Sans"/>
          <w:sz w:val="16"/>
          <w:szCs w:val="20"/>
        </w:rPr>
        <w:t>Similarly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when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we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carry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out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profiling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have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right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20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that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you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included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it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  <w:r w:rsidRPr="00A82A9F">
        <w:rPr>
          <w:rFonts w:ascii="Open Sans" w:hAnsi="Open Sans" w:cs="Open Sans"/>
          <w:sz w:val="16"/>
          <w:szCs w:val="20"/>
        </w:rPr>
        <w:br/>
      </w:r>
    </w:p>
    <w:p w14:paraId="584B1A83" w14:textId="7E2C714F" w:rsidR="00A82A9F" w:rsidRDefault="00A82A9F" w:rsidP="00A82A9F">
      <w:pPr>
        <w:spacing w:after="0"/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There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is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no transfer of </w:t>
      </w:r>
      <w:proofErr w:type="spellStart"/>
      <w:r w:rsidRPr="00A82A9F">
        <w:rPr>
          <w:rFonts w:ascii="Open Sans" w:hAnsi="Open Sans" w:cs="Open Sans"/>
          <w:sz w:val="16"/>
          <w:szCs w:val="20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data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to a </w:t>
      </w:r>
      <w:proofErr w:type="spellStart"/>
      <w:r w:rsidRPr="00A82A9F">
        <w:rPr>
          <w:rFonts w:ascii="Open Sans" w:hAnsi="Open Sans" w:cs="Open Sans"/>
          <w:sz w:val="16"/>
          <w:szCs w:val="20"/>
        </w:rPr>
        <w:t>third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country/</w:t>
      </w:r>
      <w:proofErr w:type="spellStart"/>
      <w:r w:rsidRPr="00A82A9F">
        <w:rPr>
          <w:rFonts w:ascii="Open Sans" w:hAnsi="Open Sans" w:cs="Open Sans"/>
          <w:sz w:val="16"/>
          <w:szCs w:val="20"/>
        </w:rPr>
        <w:t>international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organization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</w:p>
    <w:p w14:paraId="7EFDE142" w14:textId="6CB78A8C" w:rsidR="00A82A9F" w:rsidRDefault="00A82A9F" w:rsidP="00A82A9F">
      <w:pPr>
        <w:spacing w:after="0"/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82A9F">
        <w:rPr>
          <w:rFonts w:ascii="Open Sans" w:hAnsi="Open Sans" w:cs="Open Sans"/>
          <w:sz w:val="16"/>
          <w:szCs w:val="20"/>
        </w:rPr>
        <w:t>Profiling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is </w:t>
      </w:r>
      <w:proofErr w:type="spellStart"/>
      <w:r w:rsidRPr="00A82A9F">
        <w:rPr>
          <w:rFonts w:ascii="Open Sans" w:hAnsi="Open Sans" w:cs="Open Sans"/>
          <w:sz w:val="16"/>
          <w:szCs w:val="20"/>
        </w:rPr>
        <w:t>not</w:t>
      </w:r>
      <w:proofErr w:type="spellEnd"/>
      <w:r w:rsidRPr="00A82A9F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20"/>
        </w:rPr>
        <w:t>conducted</w:t>
      </w:r>
      <w:proofErr w:type="spellEnd"/>
      <w:r w:rsidRPr="00A82A9F">
        <w:rPr>
          <w:rFonts w:ascii="Open Sans" w:hAnsi="Open Sans" w:cs="Open Sans"/>
          <w:sz w:val="16"/>
          <w:szCs w:val="20"/>
        </w:rPr>
        <w:t>.</w:t>
      </w:r>
      <w:r w:rsidRPr="00A82A9F">
        <w:rPr>
          <w:rFonts w:ascii="Open Sans" w:hAnsi="Open Sans" w:cs="Open Sans"/>
          <w:b/>
          <w:bCs/>
          <w:sz w:val="16"/>
          <w:szCs w:val="20"/>
        </w:rPr>
        <w:t xml:space="preserve"> </w:t>
      </w:r>
    </w:p>
    <w:p w14:paraId="4C8AD211" w14:textId="77777777" w:rsidR="00A82A9F" w:rsidRDefault="00A82A9F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</w:p>
    <w:p w14:paraId="5EDDD64E" w14:textId="1C81EB1F" w:rsidR="004731B0" w:rsidRPr="00C353FC" w:rsidRDefault="00A82A9F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Supplementary</w:t>
      </w:r>
      <w:proofErr w:type="spellEnd"/>
      <w:r w:rsidRPr="00A82A9F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82A9F">
        <w:rPr>
          <w:rFonts w:ascii="Open Sans" w:hAnsi="Open Sans" w:cs="Open Sans"/>
          <w:b/>
          <w:bCs/>
          <w:sz w:val="16"/>
          <w:szCs w:val="20"/>
        </w:rPr>
        <w:t>Information</w:t>
      </w:r>
      <w:proofErr w:type="spellEnd"/>
    </w:p>
    <w:p w14:paraId="378D56E8" w14:textId="77777777" w:rsidR="00A82A9F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from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some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activities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mentioned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above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may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where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applicable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and to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necessary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extent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used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in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context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demonstrating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asserting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defending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claims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claims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a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third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party (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example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providing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to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law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enforcement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authorities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bailiffs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lawyers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etc.), in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judicial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extrajudicial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proceedings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debt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collection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Some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obtained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e.g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.,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confirmations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records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other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documents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confirming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given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fact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may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retained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and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used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as "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evidence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"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purposes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audits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inspections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by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third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parties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verifying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proper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fulfillment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operator's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obligations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under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legislative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requirements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other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requirements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contractual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sectoral</w:t>
      </w:r>
      <w:proofErr w:type="spellEnd"/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, etc.).</w:t>
      </w:r>
      <w:r w:rsidRPr="00A82A9F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</w:p>
    <w:p w14:paraId="11D6548F" w14:textId="5DDA0BE5" w:rsidR="00140A37" w:rsidRPr="000938FA" w:rsidRDefault="00A82A9F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Your</w:t>
      </w:r>
      <w:proofErr w:type="spellEnd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A82A9F">
        <w:rPr>
          <w:rFonts w:ascii="Montserrat" w:eastAsiaTheme="majorEastAsia" w:hAnsi="Montserrat" w:cstheme="majorBidi"/>
          <w:color w:val="091C6B"/>
          <w:sz w:val="22"/>
          <w:szCs w:val="36"/>
        </w:rPr>
        <w:t>Rights</w:t>
      </w:r>
      <w:proofErr w:type="spellEnd"/>
    </w:p>
    <w:p w14:paraId="6676A20D" w14:textId="1FDF3102" w:rsidR="00140A37" w:rsidRPr="000938FA" w:rsidRDefault="00A82A9F" w:rsidP="004F40B4">
      <w:pPr>
        <w:jc w:val="both"/>
        <w:rPr>
          <w:rFonts w:ascii="Open Sans" w:hAnsi="Open Sans" w:cs="Open Sans"/>
          <w:sz w:val="16"/>
          <w:szCs w:val="18"/>
        </w:rPr>
      </w:pPr>
      <w:r w:rsidRPr="00A82A9F">
        <w:rPr>
          <w:rFonts w:ascii="Open Sans" w:hAnsi="Open Sans" w:cs="Open Sans"/>
          <w:sz w:val="16"/>
          <w:szCs w:val="18"/>
        </w:rPr>
        <w:t xml:space="preserve">As a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subject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whose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have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under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GDPR and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Act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in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relation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including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access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processed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about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rectification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(or </w:t>
      </w:r>
      <w:proofErr w:type="spellStart"/>
      <w:r w:rsidRPr="00A82A9F">
        <w:rPr>
          <w:rFonts w:ascii="Open Sans" w:hAnsi="Open Sans" w:cs="Open Sans"/>
          <w:sz w:val="16"/>
          <w:szCs w:val="18"/>
        </w:rPr>
        <w:t>completion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)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erasure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or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restriction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object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not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be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subject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automated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individual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decision-making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including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profiling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portability, and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withdraw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consent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If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decide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exercise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any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can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use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our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form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which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available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upon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request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If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are </w:t>
      </w:r>
      <w:proofErr w:type="spellStart"/>
      <w:r w:rsidRPr="00A82A9F">
        <w:rPr>
          <w:rFonts w:ascii="Open Sans" w:hAnsi="Open Sans" w:cs="Open Sans"/>
          <w:sz w:val="16"/>
          <w:szCs w:val="18"/>
        </w:rPr>
        <w:t>not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satisfied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with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our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response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or </w:t>
      </w:r>
      <w:proofErr w:type="spellStart"/>
      <w:r w:rsidRPr="00A82A9F">
        <w:rPr>
          <w:rFonts w:ascii="Open Sans" w:hAnsi="Open Sans" w:cs="Open Sans"/>
          <w:sz w:val="16"/>
          <w:szCs w:val="18"/>
        </w:rPr>
        <w:t>believe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that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have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violated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rights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or are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unfairly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unlawfully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etc.,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you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have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option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file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a </w:t>
      </w:r>
      <w:proofErr w:type="spellStart"/>
      <w:r w:rsidRPr="00A82A9F">
        <w:rPr>
          <w:rFonts w:ascii="Open Sans" w:hAnsi="Open Sans" w:cs="Open Sans"/>
          <w:sz w:val="16"/>
          <w:szCs w:val="18"/>
        </w:rPr>
        <w:t>complaint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– a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proposal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initiate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proceedings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with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supervisory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authority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82A9F">
        <w:rPr>
          <w:rFonts w:ascii="Open Sans" w:hAnsi="Open Sans" w:cs="Open Sans"/>
          <w:sz w:val="16"/>
          <w:szCs w:val="18"/>
        </w:rPr>
        <w:t>which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is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Office </w:t>
      </w:r>
      <w:proofErr w:type="spellStart"/>
      <w:r w:rsidRPr="00A82A9F">
        <w:rPr>
          <w:rFonts w:ascii="Open Sans" w:hAnsi="Open Sans" w:cs="Open Sans"/>
          <w:sz w:val="16"/>
          <w:szCs w:val="18"/>
        </w:rPr>
        <w:t>for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Personal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Data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82A9F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A82A9F">
        <w:rPr>
          <w:rFonts w:ascii="Open Sans" w:hAnsi="Open Sans" w:cs="Open Sans"/>
          <w:sz w:val="16"/>
          <w:szCs w:val="18"/>
        </w:rPr>
        <w:t>the</w:t>
      </w:r>
      <w:proofErr w:type="spellEnd"/>
      <w:r w:rsidRPr="00A82A9F">
        <w:rPr>
          <w:rFonts w:ascii="Open Sans" w:hAnsi="Open Sans" w:cs="Open Sans"/>
          <w:sz w:val="16"/>
          <w:szCs w:val="18"/>
        </w:rPr>
        <w:t xml:space="preserve"> Slovak </w:t>
      </w:r>
      <w:proofErr w:type="spellStart"/>
      <w:r w:rsidRPr="00A82A9F">
        <w:rPr>
          <w:rFonts w:ascii="Open Sans" w:hAnsi="Open Sans" w:cs="Open Sans"/>
          <w:sz w:val="16"/>
          <w:szCs w:val="18"/>
        </w:rPr>
        <w:t>Republic</w:t>
      </w:r>
      <w:proofErr w:type="spellEnd"/>
      <w:r w:rsidRPr="00A82A9F">
        <w:rPr>
          <w:rFonts w:ascii="Open Sans" w:hAnsi="Open Sans" w:cs="Open Sans"/>
          <w:sz w:val="16"/>
          <w:szCs w:val="18"/>
        </w:rPr>
        <w:t>.</w:t>
      </w:r>
    </w:p>
    <w:sectPr w:rsidR="00140A37" w:rsidRPr="000938FA" w:rsidSect="00866227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4A65" w14:textId="77777777" w:rsidR="00241CF8" w:rsidRDefault="00241CF8" w:rsidP="001D2E08">
      <w:pPr>
        <w:spacing w:after="0" w:line="240" w:lineRule="auto"/>
      </w:pPr>
      <w:r>
        <w:separator/>
      </w:r>
    </w:p>
  </w:endnote>
  <w:endnote w:type="continuationSeparator" w:id="0">
    <w:p w14:paraId="6246EADF" w14:textId="77777777" w:rsidR="00241CF8" w:rsidRDefault="00241CF8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2B93DEA6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1AD79" w14:textId="41BE0032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A82A9F">
            <w:rPr>
              <w:rFonts w:ascii="Open Sans" w:hAnsi="Open Sans" w:cs="Open Sans"/>
              <w:sz w:val="18"/>
              <w:szCs w:val="18"/>
            </w:rPr>
            <w:t>Public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900EF" w14:textId="53068B68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F57B9B" w14:textId="7241165F" w:rsidR="00124A24" w:rsidRPr="001715A3" w:rsidRDefault="00A82A9F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>
            <w:rPr>
              <w:rFonts w:ascii="Open Sans" w:hAnsi="Open Sans" w:cs="Open Sans"/>
              <w:sz w:val="18"/>
              <w:szCs w:val="18"/>
            </w:rPr>
            <w:t>of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62D14B29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6A03" w14:textId="77777777" w:rsidR="00241CF8" w:rsidRDefault="00241CF8" w:rsidP="001D2E08">
      <w:pPr>
        <w:spacing w:after="0" w:line="240" w:lineRule="auto"/>
      </w:pPr>
      <w:r>
        <w:separator/>
      </w:r>
    </w:p>
  </w:footnote>
  <w:footnote w:type="continuationSeparator" w:id="0">
    <w:p w14:paraId="224E2CB8" w14:textId="77777777" w:rsidR="00241CF8" w:rsidRDefault="00241CF8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1BCEBABD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5E31B5" w14:textId="0F80358E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A5CDA3" w14:textId="43C4A806" w:rsidR="00124A24" w:rsidRPr="00A82A9F" w:rsidRDefault="00A82A9F" w:rsidP="003472DE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proofErr w:type="spellStart"/>
          <w:r w:rsidRPr="00A82A9F">
            <w:rPr>
              <w:rFonts w:ascii="Open Sans" w:hAnsi="Open Sans" w:cs="Open Sans"/>
              <w:sz w:val="18"/>
            </w:rPr>
            <w:t>Overview</w:t>
          </w:r>
          <w:proofErr w:type="spellEnd"/>
          <w:r w:rsidRPr="00A82A9F">
            <w:rPr>
              <w:rFonts w:ascii="Open Sans" w:hAnsi="Open Sans" w:cs="Open Sans"/>
              <w:sz w:val="18"/>
            </w:rPr>
            <w:t xml:space="preserve"> of </w:t>
          </w:r>
          <w:proofErr w:type="spellStart"/>
          <w:r w:rsidRPr="00A82A9F">
            <w:rPr>
              <w:rFonts w:ascii="Open Sans" w:hAnsi="Open Sans" w:cs="Open Sans"/>
              <w:sz w:val="18"/>
            </w:rPr>
            <w:t>the</w:t>
          </w:r>
          <w:proofErr w:type="spellEnd"/>
          <w:r w:rsidRPr="00A82A9F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A82A9F">
            <w:rPr>
              <w:rFonts w:ascii="Open Sans" w:hAnsi="Open Sans" w:cs="Open Sans"/>
              <w:sz w:val="18"/>
            </w:rPr>
            <w:t>Processing</w:t>
          </w:r>
          <w:proofErr w:type="spellEnd"/>
          <w:r w:rsidRPr="00A82A9F">
            <w:rPr>
              <w:rFonts w:ascii="Open Sans" w:hAnsi="Open Sans" w:cs="Open Sans"/>
              <w:sz w:val="18"/>
            </w:rPr>
            <w:t xml:space="preserve"> of </w:t>
          </w:r>
          <w:proofErr w:type="spellStart"/>
          <w:r w:rsidRPr="00A82A9F">
            <w:rPr>
              <w:rFonts w:ascii="Open Sans" w:hAnsi="Open Sans" w:cs="Open Sans"/>
              <w:sz w:val="18"/>
            </w:rPr>
            <w:t>Personal</w:t>
          </w:r>
          <w:proofErr w:type="spellEnd"/>
          <w:r w:rsidRPr="00A82A9F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A82A9F">
            <w:rPr>
              <w:rFonts w:ascii="Open Sans" w:hAnsi="Open Sans" w:cs="Open Sans"/>
              <w:sz w:val="18"/>
            </w:rPr>
            <w:t>Data</w:t>
          </w:r>
          <w:proofErr w:type="spellEnd"/>
          <w:r w:rsidRPr="00A82A9F">
            <w:rPr>
              <w:rFonts w:ascii="Open Sans" w:hAnsi="Open Sans" w:cs="Open Sans"/>
              <w:sz w:val="18"/>
            </w:rPr>
            <w:t xml:space="preserve"> of </w:t>
          </w:r>
          <w:proofErr w:type="spellStart"/>
          <w:r w:rsidRPr="00A82A9F">
            <w:rPr>
              <w:rFonts w:ascii="Open Sans" w:hAnsi="Open Sans" w:cs="Open Sans"/>
              <w:sz w:val="18"/>
            </w:rPr>
            <w:t>Visitors</w:t>
          </w:r>
          <w:proofErr w:type="spellEnd"/>
        </w:p>
      </w:tc>
    </w:tr>
  </w:tbl>
  <w:p w14:paraId="64DE93F0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5060">
    <w:abstractNumId w:val="0"/>
  </w:num>
  <w:num w:numId="2" w16cid:durableId="970667831">
    <w:abstractNumId w:val="15"/>
  </w:num>
  <w:num w:numId="3" w16cid:durableId="1233545683">
    <w:abstractNumId w:val="3"/>
  </w:num>
  <w:num w:numId="4" w16cid:durableId="1845166980">
    <w:abstractNumId w:val="11"/>
  </w:num>
  <w:num w:numId="5" w16cid:durableId="1878810696">
    <w:abstractNumId w:val="16"/>
  </w:num>
  <w:num w:numId="6" w16cid:durableId="943920492">
    <w:abstractNumId w:val="17"/>
  </w:num>
  <w:num w:numId="7" w16cid:durableId="393043709">
    <w:abstractNumId w:val="18"/>
  </w:num>
  <w:num w:numId="8" w16cid:durableId="1293708894">
    <w:abstractNumId w:val="1"/>
  </w:num>
  <w:num w:numId="9" w16cid:durableId="1664357708">
    <w:abstractNumId w:val="12"/>
  </w:num>
  <w:num w:numId="10" w16cid:durableId="2107580939">
    <w:abstractNumId w:val="19"/>
  </w:num>
  <w:num w:numId="11" w16cid:durableId="426536309">
    <w:abstractNumId w:val="5"/>
  </w:num>
  <w:num w:numId="12" w16cid:durableId="50151980">
    <w:abstractNumId w:val="2"/>
  </w:num>
  <w:num w:numId="13" w16cid:durableId="581452219">
    <w:abstractNumId w:val="7"/>
  </w:num>
  <w:num w:numId="14" w16cid:durableId="143282548">
    <w:abstractNumId w:val="9"/>
  </w:num>
  <w:num w:numId="15" w16cid:durableId="1209878025">
    <w:abstractNumId w:val="6"/>
  </w:num>
  <w:num w:numId="16" w16cid:durableId="1551186164">
    <w:abstractNumId w:val="10"/>
  </w:num>
  <w:num w:numId="17" w16cid:durableId="1540774450">
    <w:abstractNumId w:val="13"/>
  </w:num>
  <w:num w:numId="18" w16cid:durableId="292296031">
    <w:abstractNumId w:val="4"/>
  </w:num>
  <w:num w:numId="19" w16cid:durableId="762266727">
    <w:abstractNumId w:val="20"/>
  </w:num>
  <w:num w:numId="20" w16cid:durableId="534126277">
    <w:abstractNumId w:val="8"/>
  </w:num>
  <w:num w:numId="21" w16cid:durableId="1924990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CF6"/>
    <w:rsid w:val="0008059A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41CF8"/>
    <w:rsid w:val="002538A3"/>
    <w:rsid w:val="00267A38"/>
    <w:rsid w:val="00271881"/>
    <w:rsid w:val="00272C59"/>
    <w:rsid w:val="00277C47"/>
    <w:rsid w:val="00283414"/>
    <w:rsid w:val="00286EB2"/>
    <w:rsid w:val="002A7786"/>
    <w:rsid w:val="002C0646"/>
    <w:rsid w:val="003019B1"/>
    <w:rsid w:val="0030580C"/>
    <w:rsid w:val="00306BA9"/>
    <w:rsid w:val="003170D2"/>
    <w:rsid w:val="003268B4"/>
    <w:rsid w:val="00335DF1"/>
    <w:rsid w:val="00337119"/>
    <w:rsid w:val="00345811"/>
    <w:rsid w:val="003472DE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868E7"/>
    <w:rsid w:val="00390A80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F04DD"/>
    <w:rsid w:val="00412AF3"/>
    <w:rsid w:val="0042006D"/>
    <w:rsid w:val="00421E4D"/>
    <w:rsid w:val="004244F9"/>
    <w:rsid w:val="00435238"/>
    <w:rsid w:val="0043571B"/>
    <w:rsid w:val="00436C35"/>
    <w:rsid w:val="00441489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1B0"/>
    <w:rsid w:val="00473A43"/>
    <w:rsid w:val="004761BE"/>
    <w:rsid w:val="00477133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0C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064A1"/>
    <w:rsid w:val="00613C5B"/>
    <w:rsid w:val="00616877"/>
    <w:rsid w:val="00624AD6"/>
    <w:rsid w:val="00627157"/>
    <w:rsid w:val="00632168"/>
    <w:rsid w:val="00636E06"/>
    <w:rsid w:val="00637C24"/>
    <w:rsid w:val="00641495"/>
    <w:rsid w:val="006450C2"/>
    <w:rsid w:val="006461B6"/>
    <w:rsid w:val="00655D15"/>
    <w:rsid w:val="00657983"/>
    <w:rsid w:val="006611CD"/>
    <w:rsid w:val="00661847"/>
    <w:rsid w:val="00665E4B"/>
    <w:rsid w:val="006671A2"/>
    <w:rsid w:val="00667D44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15ECE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D71E5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53AF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66227"/>
    <w:rsid w:val="00880824"/>
    <w:rsid w:val="00881F94"/>
    <w:rsid w:val="00882517"/>
    <w:rsid w:val="00882CBF"/>
    <w:rsid w:val="0088772D"/>
    <w:rsid w:val="00890EE0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026F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74A4"/>
    <w:rsid w:val="009B03B7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46C60"/>
    <w:rsid w:val="00A61919"/>
    <w:rsid w:val="00A67704"/>
    <w:rsid w:val="00A771B9"/>
    <w:rsid w:val="00A82A9F"/>
    <w:rsid w:val="00A83273"/>
    <w:rsid w:val="00A956EE"/>
    <w:rsid w:val="00A96A1C"/>
    <w:rsid w:val="00AA1F69"/>
    <w:rsid w:val="00AA2741"/>
    <w:rsid w:val="00AA522C"/>
    <w:rsid w:val="00AA5AF5"/>
    <w:rsid w:val="00AB204D"/>
    <w:rsid w:val="00AB2D78"/>
    <w:rsid w:val="00AB46C2"/>
    <w:rsid w:val="00AC1552"/>
    <w:rsid w:val="00AC261F"/>
    <w:rsid w:val="00AE2C94"/>
    <w:rsid w:val="00AE5C0B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276B"/>
    <w:rsid w:val="00B77277"/>
    <w:rsid w:val="00B82D90"/>
    <w:rsid w:val="00B8396F"/>
    <w:rsid w:val="00B954C2"/>
    <w:rsid w:val="00B964A2"/>
    <w:rsid w:val="00BA5C0D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3B26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1737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C186D"/>
    <w:rsid w:val="00DD732B"/>
    <w:rsid w:val="00DE00BD"/>
    <w:rsid w:val="00DF14CF"/>
    <w:rsid w:val="00DF66F3"/>
    <w:rsid w:val="00E01EA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068"/>
    <w:rsid w:val="00EE6A80"/>
    <w:rsid w:val="00EE6BB7"/>
    <w:rsid w:val="00EF150F"/>
    <w:rsid w:val="00F032E2"/>
    <w:rsid w:val="00F21587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0CFC"/>
    <w:rsid w:val="00F8613B"/>
    <w:rsid w:val="00F8744F"/>
    <w:rsid w:val="00F8758F"/>
    <w:rsid w:val="00F94ADD"/>
    <w:rsid w:val="00FA5CE7"/>
    <w:rsid w:val="00FB60F4"/>
    <w:rsid w:val="00FB77AC"/>
    <w:rsid w:val="00FC445D"/>
    <w:rsid w:val="00FC62F5"/>
    <w:rsid w:val="00FC7E81"/>
    <w:rsid w:val="00FD2E3C"/>
    <w:rsid w:val="00FD5B11"/>
    <w:rsid w:val="00FE12AE"/>
    <w:rsid w:val="00FE30B9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2096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8AAE-FC1C-4376-8E08-202AE6890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E800E-BA88-4214-B49D-F468E3DE6088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102D0EAD-F111-4E38-A1BC-AB312FB5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24EC-1A93-4CA6-9E0F-A42DE818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24</cp:revision>
  <cp:lastPrinted>2021-07-19T13:54:00Z</cp:lastPrinted>
  <dcterms:created xsi:type="dcterms:W3CDTF">2021-07-19T13:44:00Z</dcterms:created>
  <dcterms:modified xsi:type="dcterms:W3CDTF">2025-05-26T11:51:00Z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10143600</vt:r8>
  </property>
  <property fmtid="{D5CDD505-2E9C-101B-9397-08002B2CF9AE}" pid="4" name="MediaServiceImageTags">
    <vt:lpwstr/>
  </property>
</Properties>
</file>